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R4-2007143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TCI state switching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6.1.5.7</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94-e-bis,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sz w:val="20"/>
              </w:rPr>
              <w:drawing>
                <wp:inline distT="0" distB="0" distL="114300" distR="114300">
                  <wp:extent cx="4990465" cy="2430780"/>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90465" cy="2430780"/>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The LS [2] asks if RAN2 can support to declare beam failure in this case:</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43" w:type="dxa"/>
          </w:tcPr>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Known state</w:t>
            </w:r>
            <w:r>
              <w:rPr>
                <w:rFonts w:hint="default"/>
                <w:i/>
                <w:iCs/>
                <w:sz w:val="20"/>
              </w:rPr>
              <w:t>:</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RRC-based: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RRC,known,max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RRC,known,max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RRC,known,max</w:t>
            </w:r>
            <w:r>
              <w:rPr>
                <w:rFonts w:hint="default"/>
                <w:i/>
                <w:iCs/>
                <w:sz w:val="20"/>
              </w:rPr>
              <w:t xml:space="preserve"> the UE may stop the active TCI state switching procedure and </w:t>
            </w:r>
            <w:r>
              <w:rPr>
                <w:rFonts w:hint="default"/>
                <w:i/>
                <w:iCs/>
                <w:sz w:val="20"/>
                <w:highlight w:val="yellow"/>
              </w:rPr>
              <w:t>FFS: declare beam failure</w:t>
            </w:r>
          </w:p>
          <w:p>
            <w:pPr>
              <w:keepNext w:val="0"/>
              <w:keepLines w:val="0"/>
              <w:widowControl/>
              <w:numPr>
                <w:ilvl w:val="0"/>
                <w:numId w:val="6"/>
              </w:numPr>
              <w:suppressLineNumbers w:val="0"/>
              <w:spacing w:before="0" w:beforeAutospacing="0" w:after="20" w:afterAutospacing="0"/>
              <w:ind w:right="0" w:hanging="357"/>
              <w:rPr>
                <w:rFonts w:hint="default"/>
                <w:i/>
                <w:iCs/>
                <w:sz w:val="20"/>
                <w:lang w:val="sv-SE"/>
              </w:rPr>
            </w:pPr>
            <w:r>
              <w:rPr>
                <w:rFonts w:hint="default"/>
                <w:i/>
                <w:iCs/>
                <w:sz w:val="20"/>
              </w:rPr>
              <w:t>MAC-CE based:</w:t>
            </w:r>
          </w:p>
          <w:p>
            <w:pPr>
              <w:keepNext w:val="0"/>
              <w:keepLines w:val="0"/>
              <w:widowControl/>
              <w:numPr>
                <w:ilvl w:val="1"/>
                <w:numId w:val="6"/>
              </w:numPr>
              <w:suppressLineNumbers w:val="0"/>
              <w:spacing w:before="0" w:beforeAutospacing="0" w:after="20" w:afterAutospacing="0"/>
              <w:ind w:right="0" w:hanging="357"/>
              <w:rPr>
                <w:rFonts w:hint="default"/>
                <w:i/>
                <w:iCs/>
                <w:sz w:val="20"/>
              </w:rPr>
            </w:pPr>
            <w:r>
              <w:rPr>
                <w:rFonts w:hint="default"/>
                <w:i/>
                <w:iCs/>
                <w:sz w:val="20"/>
              </w:rPr>
              <w:t>L</w:t>
            </w:r>
            <w:r>
              <w:rPr>
                <w:rFonts w:hint="default"/>
                <w:i/>
                <w:iCs/>
                <w:sz w:val="20"/>
                <w:vertAlign w:val="subscript"/>
              </w:rPr>
              <w:t>MAC,known,max</w:t>
            </w:r>
            <w:r>
              <w:rPr>
                <w:rFonts w:hint="default"/>
                <w:i/>
                <w:iCs/>
                <w:sz w:val="20"/>
              </w:rPr>
              <w:t xml:space="preserve"> =[2] for T</w:t>
            </w:r>
            <w:r>
              <w:rPr>
                <w:rFonts w:hint="default"/>
                <w:i/>
                <w:iCs/>
                <w:sz w:val="20"/>
                <w:vertAlign w:val="subscript"/>
              </w:rPr>
              <w:t>SSB</w:t>
            </w:r>
            <w:r>
              <w:rPr>
                <w:rFonts w:hint="default"/>
                <w:i/>
                <w:iCs/>
                <w:sz w:val="20"/>
              </w:rPr>
              <w:t>≤40 ms, L</w:t>
            </w:r>
            <w:r>
              <w:rPr>
                <w:rFonts w:hint="default"/>
                <w:i/>
                <w:iCs/>
                <w:sz w:val="20"/>
                <w:vertAlign w:val="subscript"/>
              </w:rPr>
              <w:t>MAC,known,max</w:t>
            </w:r>
            <w:r>
              <w:rPr>
                <w:rFonts w:hint="default"/>
                <w:i/>
                <w:iCs/>
                <w:sz w:val="20"/>
              </w:rPr>
              <w:t xml:space="preserve"> =[1] for T</w:t>
            </w:r>
            <w:r>
              <w:rPr>
                <w:rFonts w:hint="default"/>
                <w:i/>
                <w:iCs/>
                <w:sz w:val="20"/>
                <w:vertAlign w:val="subscript"/>
              </w:rPr>
              <w:t>SSB</w:t>
            </w:r>
            <w:r>
              <w:rPr>
                <w:rFonts w:hint="default"/>
                <w:i/>
                <w:iCs/>
                <w:sz w:val="20"/>
              </w:rPr>
              <w:t>&gt;40 ms</w:t>
            </w:r>
          </w:p>
          <w:p>
            <w:pPr>
              <w:keepNext w:val="0"/>
              <w:keepLines w:val="0"/>
              <w:widowControl/>
              <w:numPr>
                <w:ilvl w:val="2"/>
                <w:numId w:val="6"/>
              </w:numPr>
              <w:suppressLineNumbers w:val="0"/>
              <w:spacing w:before="0" w:beforeAutospacing="0" w:after="20" w:afterAutospacing="0"/>
              <w:ind w:right="0" w:hanging="357"/>
              <w:rPr>
                <w:rFonts w:hint="default"/>
                <w:i/>
                <w:iCs/>
                <w:sz w:val="20"/>
              </w:rPr>
            </w:pPr>
            <w:r>
              <w:rPr>
                <w:rFonts w:hint="default"/>
                <w:i/>
                <w:iCs/>
                <w:sz w:val="20"/>
              </w:rPr>
              <w:t>Upon exceeding L</w:t>
            </w:r>
            <w:r>
              <w:rPr>
                <w:rFonts w:hint="default"/>
                <w:i/>
                <w:iCs/>
                <w:sz w:val="20"/>
                <w:vertAlign w:val="subscript"/>
              </w:rPr>
              <w:t>MAC,known,max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rPr>
                <w:rFonts w:hint="default"/>
                <w:i/>
                <w:iCs/>
                <w:sz w:val="20"/>
              </w:rPr>
            </w:pPr>
            <w:r>
              <w:rPr>
                <w:rFonts w:hint="default"/>
                <w:i/>
                <w:iCs/>
                <w:sz w:val="20"/>
                <w:u w:val="single"/>
              </w:rPr>
              <w:t>Unknown state</w:t>
            </w:r>
            <w:r>
              <w:rPr>
                <w:rFonts w:hint="default"/>
                <w:i/>
                <w:iCs/>
                <w:sz w:val="20"/>
              </w:rPr>
              <w:t>:</w:t>
            </w:r>
          </w:p>
          <w:p>
            <w:pPr>
              <w:keepNext w:val="0"/>
              <w:keepLines w:val="0"/>
              <w:widowControl/>
              <w:numPr>
                <w:ilvl w:val="0"/>
                <w:numId w:val="7"/>
              </w:numPr>
              <w:suppressLineNumbers w:val="0"/>
              <w:spacing w:before="0" w:beforeAutospacing="0" w:after="20" w:afterAutospacing="0"/>
              <w:ind w:right="0" w:hanging="357"/>
              <w:rPr>
                <w:rFonts w:hint="default"/>
                <w:i/>
                <w:iCs/>
                <w:sz w:val="20"/>
                <w:highlight w:val="none"/>
                <w:lang w:val="sv-SE"/>
              </w:rPr>
            </w:pPr>
            <w:r>
              <w:rPr>
                <w:rFonts w:hint="default"/>
                <w:i/>
                <w:iCs/>
                <w:sz w:val="20"/>
                <w:highlight w:val="none"/>
              </w:rPr>
              <w:t>RRC-based:</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L1</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CSI-RS/SSB</w:t>
            </w:r>
            <w:r>
              <w:rPr>
                <w:rFonts w:hint="default"/>
                <w:i/>
                <w:iCs/>
                <w:sz w:val="20"/>
                <w:highlight w:val="none"/>
              </w:rPr>
              <w:t xml:space="preserve"> ≤40 ms, L1</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CSI-RS/SSB</w:t>
            </w:r>
            <w:r>
              <w:rPr>
                <w:rFonts w:hint="default"/>
                <w:i/>
                <w:iCs/>
                <w:sz w:val="20"/>
                <w:highlight w:val="none"/>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L2</w:t>
            </w:r>
            <w:r>
              <w:rPr>
                <w:rFonts w:hint="default"/>
                <w:i/>
                <w:iCs/>
                <w:sz w:val="20"/>
                <w:highlight w:val="none"/>
                <w:vertAlign w:val="subscript"/>
              </w:rPr>
              <w:t>RRC,unknown,max</w:t>
            </w:r>
            <w:r>
              <w:rPr>
                <w:rFonts w:hint="default"/>
                <w:i/>
                <w:iCs/>
                <w:sz w:val="20"/>
                <w:highlight w:val="none"/>
              </w:rPr>
              <w:t xml:space="preserve"> =[2] for T</w:t>
            </w:r>
            <w:r>
              <w:rPr>
                <w:rFonts w:hint="default"/>
                <w:i/>
                <w:iCs/>
                <w:sz w:val="20"/>
                <w:highlight w:val="none"/>
                <w:vertAlign w:val="subscript"/>
              </w:rPr>
              <w:t>SSB</w:t>
            </w:r>
            <w:r>
              <w:rPr>
                <w:rFonts w:hint="default"/>
                <w:i/>
                <w:iCs/>
                <w:sz w:val="20"/>
                <w:highlight w:val="none"/>
              </w:rPr>
              <w:t xml:space="preserve"> ≤40 ms, L2</w:t>
            </w:r>
            <w:r>
              <w:rPr>
                <w:rFonts w:hint="default"/>
                <w:i/>
                <w:iCs/>
                <w:sz w:val="20"/>
                <w:highlight w:val="none"/>
                <w:vertAlign w:val="subscript"/>
              </w:rPr>
              <w:t>MAC,unknown,max</w:t>
            </w:r>
            <w:r>
              <w:rPr>
                <w:rFonts w:hint="default"/>
                <w:i/>
                <w:iCs/>
                <w:sz w:val="20"/>
                <w:highlight w:val="none"/>
              </w:rPr>
              <w:t xml:space="preserve"> = [1] for T</w:t>
            </w:r>
            <w:r>
              <w:rPr>
                <w:rFonts w:hint="default"/>
                <w:i/>
                <w:iCs/>
                <w:sz w:val="20"/>
                <w:highlight w:val="none"/>
                <w:vertAlign w:val="subscript"/>
              </w:rPr>
              <w:t>SSB</w:t>
            </w:r>
            <w:r>
              <w:rPr>
                <w:rFonts w:hint="default"/>
                <w:i/>
                <w:iCs/>
                <w:sz w:val="20"/>
                <w:highlight w:val="none"/>
              </w:rPr>
              <w:t xml:space="preserve">&gt;40 ms </w:t>
            </w:r>
          </w:p>
          <w:p>
            <w:pPr>
              <w:keepNext w:val="0"/>
              <w:keepLines w:val="0"/>
              <w:widowControl/>
              <w:numPr>
                <w:ilvl w:val="1"/>
                <w:numId w:val="7"/>
              </w:numPr>
              <w:suppressLineNumbers w:val="0"/>
              <w:spacing w:before="0" w:beforeAutospacing="0" w:after="20" w:afterAutospacing="0"/>
              <w:ind w:right="0" w:hanging="357"/>
              <w:rPr>
                <w:rFonts w:hint="default"/>
                <w:i/>
                <w:iCs/>
                <w:sz w:val="20"/>
                <w:highlight w:val="none"/>
              </w:rPr>
            </w:pPr>
            <w:r>
              <w:rPr>
                <w:rFonts w:hint="default"/>
                <w:i/>
                <w:iCs/>
                <w:sz w:val="20"/>
                <w:highlight w:val="none"/>
              </w:rPr>
              <w:t>Upon exceeding L1</w:t>
            </w:r>
            <w:r>
              <w:rPr>
                <w:rFonts w:hint="default"/>
                <w:i/>
                <w:iCs/>
                <w:sz w:val="20"/>
                <w:highlight w:val="none"/>
                <w:vertAlign w:val="subscript"/>
              </w:rPr>
              <w:t>RRC,unknown,max</w:t>
            </w:r>
            <w:r>
              <w:rPr>
                <w:rFonts w:hint="default"/>
                <w:i/>
                <w:iCs/>
                <w:sz w:val="20"/>
                <w:highlight w:val="none"/>
              </w:rPr>
              <w:t xml:space="preserve"> or L2</w:t>
            </w:r>
            <w:r>
              <w:rPr>
                <w:rFonts w:hint="default"/>
                <w:i/>
                <w:iCs/>
                <w:sz w:val="20"/>
                <w:highlight w:val="none"/>
                <w:vertAlign w:val="subscript"/>
              </w:rPr>
              <w:t>RRC,unknown,max</w:t>
            </w:r>
            <w:r>
              <w:rPr>
                <w:rFonts w:hint="default"/>
                <w:i/>
                <w:iCs/>
                <w:sz w:val="20"/>
                <w:highlight w:val="none"/>
              </w:rPr>
              <w:t xml:space="preserve"> the UE may abandon the active TCI state switching procedure and </w:t>
            </w:r>
            <w:r>
              <w:rPr>
                <w:rFonts w:hint="default"/>
                <w:i/>
                <w:iCs/>
                <w:sz w:val="20"/>
                <w:highlight w:val="yellow"/>
              </w:rPr>
              <w:t>FFS: declare beam failure</w:t>
            </w:r>
          </w:p>
          <w:p>
            <w:pPr>
              <w:keepNext w:val="0"/>
              <w:keepLines w:val="0"/>
              <w:widowControl/>
              <w:numPr>
                <w:ilvl w:val="0"/>
                <w:numId w:val="7"/>
              </w:numPr>
              <w:suppressLineNumbers w:val="0"/>
              <w:spacing w:before="0" w:beforeAutospacing="0" w:after="20" w:afterAutospacing="0"/>
              <w:ind w:right="0" w:hanging="357"/>
              <w:rPr>
                <w:rFonts w:hint="default"/>
                <w:i/>
                <w:iCs/>
                <w:sz w:val="20"/>
                <w:lang w:val="sv-SE"/>
              </w:rPr>
            </w:pPr>
            <w:r>
              <w:rPr>
                <w:rFonts w:hint="default"/>
                <w:i/>
                <w:iCs/>
                <w:sz w:val="20"/>
              </w:rPr>
              <w:t>MAC-CE based switching:</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L1</w:t>
            </w:r>
            <w:r>
              <w:rPr>
                <w:rFonts w:hint="default"/>
                <w:i/>
                <w:iCs/>
                <w:sz w:val="20"/>
                <w:vertAlign w:val="subscript"/>
              </w:rPr>
              <w:t>MAC,unknown,max</w:t>
            </w:r>
            <w:r>
              <w:rPr>
                <w:rFonts w:hint="default"/>
                <w:i/>
                <w:iCs/>
                <w:sz w:val="20"/>
              </w:rPr>
              <w:t xml:space="preserve"> = [2] for T</w:t>
            </w:r>
            <w:r>
              <w:rPr>
                <w:rFonts w:hint="default"/>
                <w:i/>
                <w:iCs/>
                <w:sz w:val="20"/>
                <w:vertAlign w:val="subscript"/>
              </w:rPr>
              <w:t>CSI-RS/SSB</w:t>
            </w:r>
            <w:r>
              <w:rPr>
                <w:rFonts w:hint="default"/>
                <w:i/>
                <w:iCs/>
                <w:sz w:val="20"/>
              </w:rPr>
              <w:t>≤40 ms, L1</w:t>
            </w:r>
            <w:r>
              <w:rPr>
                <w:rFonts w:hint="default"/>
                <w:i/>
                <w:iCs/>
                <w:sz w:val="20"/>
                <w:vertAlign w:val="subscript"/>
              </w:rPr>
              <w:t>MAC,unknown,max</w:t>
            </w:r>
            <w:r>
              <w:rPr>
                <w:rFonts w:hint="default"/>
                <w:i/>
                <w:iCs/>
                <w:sz w:val="20"/>
              </w:rPr>
              <w:t xml:space="preserve"> = [1] for T</w:t>
            </w:r>
            <w:r>
              <w:rPr>
                <w:rFonts w:hint="default"/>
                <w:i/>
                <w:iCs/>
                <w:sz w:val="20"/>
                <w:vertAlign w:val="subscript"/>
              </w:rPr>
              <w:t>CSI-RS/SSB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L2</w:t>
            </w:r>
            <w:r>
              <w:rPr>
                <w:rFonts w:hint="default"/>
                <w:i/>
                <w:iCs/>
                <w:sz w:val="20"/>
                <w:vertAlign w:val="subscript"/>
              </w:rPr>
              <w:t>MAC,unknown,max</w:t>
            </w:r>
            <w:r>
              <w:rPr>
                <w:rFonts w:hint="default"/>
                <w:i/>
                <w:iCs/>
                <w:sz w:val="20"/>
              </w:rPr>
              <w:t xml:space="preserve"> =[2] for T</w:t>
            </w:r>
            <w:r>
              <w:rPr>
                <w:rFonts w:hint="default"/>
                <w:i/>
                <w:iCs/>
                <w:sz w:val="20"/>
                <w:vertAlign w:val="subscript"/>
              </w:rPr>
              <w:t>SSB</w:t>
            </w:r>
            <w:r>
              <w:rPr>
                <w:rFonts w:hint="default"/>
                <w:i/>
                <w:iCs/>
                <w:sz w:val="20"/>
              </w:rPr>
              <w:t>≤40 ms, L2</w:t>
            </w:r>
            <w:r>
              <w:rPr>
                <w:rFonts w:hint="default"/>
                <w:i/>
                <w:iCs/>
                <w:sz w:val="20"/>
                <w:vertAlign w:val="subscript"/>
              </w:rPr>
              <w:t>MAC,unknown,max</w:t>
            </w:r>
            <w:r>
              <w:rPr>
                <w:rFonts w:hint="default"/>
                <w:i/>
                <w:iCs/>
                <w:sz w:val="20"/>
              </w:rPr>
              <w:t xml:space="preserve"> = [1] for T</w:t>
            </w:r>
            <w:r>
              <w:rPr>
                <w:rFonts w:hint="default"/>
                <w:i/>
                <w:iCs/>
                <w:sz w:val="20"/>
                <w:vertAlign w:val="subscript"/>
              </w:rPr>
              <w:t>SSB</w:t>
            </w:r>
            <w:r>
              <w:rPr>
                <w:rFonts w:hint="default"/>
                <w:i/>
                <w:iCs/>
                <w:sz w:val="20"/>
              </w:rPr>
              <w:t>&gt;40 ms</w:t>
            </w:r>
          </w:p>
          <w:p>
            <w:pPr>
              <w:keepNext w:val="0"/>
              <w:keepLines w:val="0"/>
              <w:widowControl/>
              <w:numPr>
                <w:ilvl w:val="1"/>
                <w:numId w:val="7"/>
              </w:numPr>
              <w:suppressLineNumbers w:val="0"/>
              <w:spacing w:before="0" w:beforeAutospacing="0" w:after="20" w:afterAutospacing="0"/>
              <w:ind w:right="0" w:hanging="357"/>
              <w:rPr>
                <w:rFonts w:hint="default"/>
                <w:i/>
                <w:iCs/>
                <w:sz w:val="20"/>
              </w:rPr>
            </w:pPr>
            <w:r>
              <w:rPr>
                <w:rFonts w:hint="default"/>
                <w:i/>
                <w:iCs/>
                <w:sz w:val="20"/>
              </w:rPr>
              <w:t>Upon exceeding L1</w:t>
            </w:r>
            <w:r>
              <w:rPr>
                <w:rFonts w:hint="default"/>
                <w:i/>
                <w:iCs/>
                <w:sz w:val="20"/>
                <w:vertAlign w:val="subscript"/>
              </w:rPr>
              <w:t>MAC,unknown,max</w:t>
            </w:r>
            <w:r>
              <w:rPr>
                <w:rFonts w:hint="default"/>
                <w:i/>
                <w:iCs/>
                <w:sz w:val="20"/>
              </w:rPr>
              <w:t xml:space="preserve"> or L2</w:t>
            </w:r>
            <w:r>
              <w:rPr>
                <w:rFonts w:hint="default"/>
                <w:i/>
                <w:iCs/>
                <w:sz w:val="20"/>
                <w:vertAlign w:val="subscript"/>
              </w:rPr>
              <w:t>MAC,unknown,max</w:t>
            </w:r>
            <w:r>
              <w:rPr>
                <w:rFonts w:hint="default"/>
                <w:i/>
                <w:iCs/>
                <w:sz w:val="20"/>
              </w:rPr>
              <w:t xml:space="preserve"> the UE may stop the active TCI state switching procedure and FFS: stay in the old state</w:t>
            </w:r>
          </w:p>
          <w:p>
            <w:pPr>
              <w:keepNext w:val="0"/>
              <w:keepLines w:val="0"/>
              <w:widowControl/>
              <w:suppressLineNumbers w:val="0"/>
              <w:spacing w:before="0" w:beforeAutospacing="0" w:after="60" w:afterAutospacing="0"/>
              <w:ind w:left="0" w:right="0"/>
              <w:jc w:val="both"/>
              <w:rPr>
                <w:rFonts w:hint="default" w:ascii="Arial" w:hAnsi="Arial" w:cs="Arial"/>
                <w:color w:val="000000"/>
                <w:sz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rPr>
                <w:rFonts w:hint="default" w:eastAsia="宋体"/>
                <w:sz w:val="22"/>
                <w:szCs w:val="22"/>
                <w:vertAlign w:val="baseline"/>
                <w:lang w:val="en-US" w:eastAsia="zh-CN"/>
              </w:rPr>
            </w:pPr>
            <w:r>
              <w:rPr>
                <w:rFonts w:hint="default"/>
                <w:i/>
                <w:iCs/>
                <w:color w:val="000000"/>
                <w:sz w:val="20"/>
                <w:lang w:val="en-US"/>
              </w:rPr>
              <w:t xml:space="preserve">In the above, </w:t>
            </w:r>
            <w:r>
              <w:rPr>
                <w:rFonts w:hint="default"/>
                <w:i/>
                <w:iCs/>
                <w:color w:val="000000"/>
                <w:sz w:val="20"/>
              </w:rPr>
              <w:t>L</w:t>
            </w:r>
            <w:r>
              <w:rPr>
                <w:rFonts w:hint="default"/>
                <w:i/>
                <w:iCs/>
                <w:color w:val="000000"/>
                <w:sz w:val="20"/>
                <w:vertAlign w:val="subscript"/>
                <w:lang w:val="en-US"/>
              </w:rPr>
              <w:t>*,max</w:t>
            </w:r>
            <w:r>
              <w:rPr>
                <w:rFonts w:hint="default"/>
                <w:i/>
                <w:iCs/>
                <w:color w:val="000000"/>
                <w:sz w:val="20"/>
                <w:lang w:val="en-US"/>
              </w:rPr>
              <w:t xml:space="preserve"> is</w:t>
            </w:r>
            <w:r>
              <w:rPr>
                <w:rFonts w:hint="default"/>
                <w:i/>
                <w:iCs/>
                <w:color w:val="000000"/>
                <w:sz w:val="20"/>
              </w:rPr>
              <w:t xml:space="preserve"> the </w:t>
            </w:r>
            <w:r>
              <w:rPr>
                <w:rFonts w:hint="default"/>
                <w:i/>
                <w:iCs/>
                <w:color w:val="000000"/>
                <w:sz w:val="20"/>
                <w:lang w:val="en-US"/>
              </w:rPr>
              <w:t xml:space="preserve">maximum </w:t>
            </w:r>
            <w:r>
              <w:rPr>
                <w:rFonts w:hint="default"/>
                <w:i/>
                <w:iCs/>
                <w:color w:val="000000"/>
                <w:sz w:val="20"/>
              </w:rPr>
              <w:t>number of SSB occasions not available at the UE due to CCA failure</w:t>
            </w:r>
            <w:r>
              <w:rPr>
                <w:rFonts w:hint="default"/>
                <w:i/>
                <w:iCs/>
                <w:color w:val="000000"/>
                <w:sz w:val="20"/>
                <w:lang w:val="en-US"/>
              </w:rPr>
              <w:t xml:space="preserve"> for the corresponding state and switching type.</w:t>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eastAsia" w:eastAsia="宋体" w:cs="Times New Roman"/>
          <w:sz w:val="22"/>
          <w:szCs w:val="22"/>
          <w:lang w:val="en-US" w:eastAsia="zh-CN" w:bidi="ar-SA"/>
        </w:rPr>
      </w:pPr>
      <w:r>
        <w:rPr>
          <w:rFonts w:hint="eastAsia" w:eastAsia="宋体" w:cs="Times New Roman"/>
          <w:sz w:val="22"/>
          <w:szCs w:val="22"/>
          <w:lang w:val="en-US" w:eastAsia="zh-CN" w:bidi="ar-SA"/>
        </w:rPr>
        <w:t xml:space="preserve">The intention of declaring beam failure is that such behavior can </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Make sure the UE and the network are on the same page, all knowing the current condition at the UE side</w:t>
      </w:r>
    </w:p>
    <w:p>
      <w:pPr>
        <w:numPr>
          <w:ilvl w:val="0"/>
          <w:numId w:val="8"/>
        </w:numPr>
        <w:rPr>
          <w:rFonts w:hint="default" w:eastAsia="宋体" w:cs="Times New Roman"/>
          <w:sz w:val="22"/>
          <w:szCs w:val="22"/>
          <w:lang w:val="en-US" w:eastAsia="zh-CN" w:bidi="ar-SA"/>
        </w:rPr>
      </w:pPr>
      <w:r>
        <w:rPr>
          <w:rFonts w:hint="eastAsia" w:eastAsia="宋体" w:cs="Times New Roman"/>
          <w:sz w:val="22"/>
          <w:szCs w:val="22"/>
          <w:lang w:val="en-US" w:eastAsia="zh-CN" w:bidi="ar-SA"/>
        </w:rPr>
        <w:t>The UE can provide the network with a better candidate beam when sending RACH to the network</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However, after re-thinking about this option, we find out that declaring beam failure cannot fulfil its goal. For 1), since the network is always aware of DL LBT failures, so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For 2), we think this purpose can only be fulfilled if the UE can perform directional LBT.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eastAsia" w:eastAsia="宋体" w:cs="Times New Roman"/>
          <w:sz w:val="22"/>
          <w:szCs w:val="22"/>
          <w:lang w:val="en-US" w:eastAsia="zh-CN" w:bidi="ar-SA"/>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Observation 2 means that if LBT fails with an old beam, with a new beam it will most likely to fail because LBT is done with an omni-directional manner.</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Based on the above observations, we propose that:</w:t>
      </w:r>
    </w:p>
    <w:p>
      <w:pPr>
        <w:pStyle w:val="36"/>
        <w:rPr>
          <w:sz w:val="22"/>
          <w:szCs w:val="22"/>
          <w:lang w:eastAsia="zh-CN"/>
        </w:rPr>
      </w:pPr>
      <w:r>
        <w:rPr>
          <w:rFonts w:hint="eastAsia"/>
          <w:sz w:val="22"/>
          <w:szCs w:val="22"/>
          <w:lang w:val="en-US" w:eastAsia="zh-CN"/>
        </w:rPr>
        <w:t>The UE shall not declare beam failure when RRC based TCI state switch fails</w:t>
      </w:r>
      <w:r>
        <w:rPr>
          <w:sz w:val="22"/>
          <w:szCs w:val="22"/>
          <w:lang w:eastAsia="zh-CN"/>
        </w:rPr>
        <w:t>.</w:t>
      </w:r>
    </w:p>
    <w:p>
      <w:pPr>
        <w:rPr>
          <w:rFonts w:hint="default"/>
          <w:sz w:val="22"/>
          <w:szCs w:val="22"/>
          <w:lang w:val="en-US" w:eastAsia="zh-CN"/>
        </w:rPr>
      </w:pPr>
      <w:r>
        <w:rPr>
          <w:rFonts w:hint="eastAsia"/>
          <w:sz w:val="22"/>
          <w:szCs w:val="22"/>
          <w:lang w:val="en-US" w:eastAsia="zh-CN"/>
        </w:rPr>
        <w:t>The UE shall not declare beam failure because such behavior brings not much benefit and won</w:t>
      </w:r>
      <w:r>
        <w:rPr>
          <w:rFonts w:hint="default"/>
          <w:sz w:val="22"/>
          <w:szCs w:val="22"/>
          <w:lang w:val="en-US" w:eastAsia="zh-CN"/>
        </w:rPr>
        <w:t>’</w:t>
      </w:r>
      <w:r>
        <w:rPr>
          <w:rFonts w:hint="eastAsia"/>
          <w:sz w:val="22"/>
          <w:szCs w:val="22"/>
          <w:lang w:val="en-US" w:eastAsia="zh-CN"/>
        </w:rPr>
        <w:t>t solve the problem.</w:t>
      </w:r>
    </w:p>
    <w:p>
      <w:pPr>
        <w:rPr>
          <w:rFonts w:hint="eastAsia"/>
          <w:sz w:val="22"/>
          <w:szCs w:val="22"/>
          <w:lang w:val="en-US" w:eastAsia="zh-CN"/>
        </w:rPr>
      </w:pPr>
      <w:r>
        <w:rPr>
          <w:rFonts w:hint="eastAsia"/>
          <w:sz w:val="22"/>
          <w:szCs w:val="22"/>
          <w:lang w:val="en-US" w:eastAsia="zh-CN"/>
        </w:rPr>
        <w:t>For RRC-based TCI state switch at least, we think that changing BWP might be more efficient than changing beams. As we analyzed, since the UE carries out omni-directional LBT, changing beams won</w:t>
      </w:r>
      <w:r>
        <w:rPr>
          <w:rFonts w:hint="default"/>
          <w:sz w:val="22"/>
          <w:szCs w:val="22"/>
          <w:lang w:val="en-US" w:eastAsia="zh-CN"/>
        </w:rPr>
        <w:t>’</w:t>
      </w:r>
      <w:r>
        <w:rPr>
          <w:rFonts w:hint="eastAsia"/>
          <w:sz w:val="22"/>
          <w:szCs w:val="22"/>
          <w:lang w:val="en-US" w:eastAsia="zh-CN"/>
        </w:rPr>
        <w:t>t affect the LBT result. However, changing active BWP might be effective since channel occupancy is different on different frequencies / BWPs.</w:t>
      </w:r>
    </w:p>
    <w:p>
      <w:pPr>
        <w:rPr>
          <w:rFonts w:hint="default"/>
          <w:sz w:val="22"/>
          <w:szCs w:val="22"/>
          <w:lang w:val="en-US" w:eastAsia="zh-CN"/>
        </w:rPr>
      </w:pPr>
      <w:r>
        <w:rPr>
          <w:rFonts w:hint="eastAsia"/>
          <w:sz w:val="22"/>
          <w:szCs w:val="22"/>
          <w:lang w:val="en-US" w:eastAsia="zh-CN"/>
        </w:rPr>
        <w:t>Changing active BWP in this case can be done with or without signalling. As we reasoned earlier, the network is always aware of DL LBT failures so no signalling is needed. The active BWP switch under this case can be similar to timer based BWP switch, which doesn</w:t>
      </w:r>
      <w:r>
        <w:rPr>
          <w:rFonts w:hint="default"/>
          <w:sz w:val="22"/>
          <w:szCs w:val="22"/>
          <w:lang w:val="en-US" w:eastAsia="zh-CN"/>
        </w:rPr>
        <w:t>’</w:t>
      </w:r>
      <w:r>
        <w:rPr>
          <w:rFonts w:hint="eastAsia"/>
          <w:sz w:val="22"/>
          <w:szCs w:val="22"/>
          <w:lang w:val="en-US" w:eastAsia="zh-CN"/>
        </w:rPr>
        <w:t xml:space="preserve">t involve any signalling. The network and the UE can both start the counter for DL LBT failures, which is </w:t>
      </w:r>
      <w:r>
        <w:rPr>
          <w:i/>
          <w:iCs/>
        </w:rPr>
        <w:t>L</w:t>
      </w:r>
      <w:r>
        <w:rPr>
          <w:i/>
          <w:iCs/>
          <w:vertAlign w:val="subscript"/>
        </w:rPr>
        <w:t>RRC,known</w:t>
      </w:r>
      <w:r>
        <w:rPr>
          <w:rFonts w:hint="eastAsia"/>
          <w:sz w:val="22"/>
          <w:szCs w:val="22"/>
          <w:lang w:val="en-US" w:eastAsia="zh-CN"/>
        </w:rPr>
        <w:t xml:space="preserve"> when target TCI state is known and </w:t>
      </w:r>
      <w:r>
        <w:rPr>
          <w:i/>
          <w:iCs/>
        </w:rPr>
        <w:t>L</w:t>
      </w:r>
      <w:r>
        <w:rPr>
          <w:rFonts w:hint="eastAsia" w:eastAsia="宋体"/>
          <w:i/>
          <w:iCs/>
          <w:lang w:val="en-US" w:eastAsia="zh-CN"/>
        </w:rPr>
        <w:t>1</w:t>
      </w:r>
      <w:r>
        <w:rPr>
          <w:i/>
          <w:iCs/>
          <w:vertAlign w:val="subscript"/>
        </w:rPr>
        <w:t>RRC,known</w:t>
      </w:r>
      <w:r>
        <w:rPr>
          <w:rFonts w:hint="eastAsia"/>
          <w:sz w:val="22"/>
          <w:szCs w:val="22"/>
          <w:lang w:val="en-US" w:eastAsia="zh-CN"/>
        </w:rPr>
        <w:t xml:space="preserve"> and </w:t>
      </w:r>
      <w:r>
        <w:rPr>
          <w:i/>
          <w:iCs/>
        </w:rPr>
        <w:t>L</w:t>
      </w:r>
      <w:r>
        <w:rPr>
          <w:rFonts w:hint="eastAsia" w:eastAsia="宋体"/>
          <w:i/>
          <w:iCs/>
          <w:lang w:val="en-US" w:eastAsia="zh-CN"/>
        </w:rPr>
        <w:t>2</w:t>
      </w:r>
      <w:r>
        <w:rPr>
          <w:i/>
          <w:iCs/>
          <w:vertAlign w:val="subscript"/>
        </w:rPr>
        <w:t>RRC,known</w:t>
      </w:r>
      <w:r>
        <w:rPr>
          <w:rFonts w:hint="eastAsia"/>
          <w:sz w:val="22"/>
          <w:szCs w:val="22"/>
          <w:lang w:val="en-US" w:eastAsia="zh-CN"/>
        </w:rPr>
        <w:t xml:space="preserve"> when target TCI state is unknown. When the counter reaches the maximum allowed value, the UE and the network both knows this situation and initiate active BWP switch.</w:t>
      </w:r>
    </w:p>
    <w:p>
      <w:pPr>
        <w:pStyle w:val="36"/>
        <w:rPr>
          <w:rFonts w:hint="default"/>
          <w:lang w:val="en-US" w:eastAsia="zh-CN"/>
        </w:rPr>
      </w:pPr>
      <w:r>
        <w:rPr>
          <w:rFonts w:hint="eastAsia"/>
          <w:sz w:val="22"/>
          <w:szCs w:val="22"/>
          <w:lang w:val="en-US" w:eastAsia="zh-CN"/>
        </w:rPr>
        <w:t>When RRC based TCI state switch fails due to LBT failures, the UE shall switch its active BWP after the counter reaches the maximum allowed value</w:t>
      </w:r>
      <w:r>
        <w:rPr>
          <w:sz w:val="22"/>
          <w:szCs w:val="22"/>
          <w:lang w:eastAsia="zh-CN"/>
        </w:rPr>
        <w:t>.</w:t>
      </w:r>
    </w:p>
    <w:p>
      <w:pPr>
        <w:pStyle w:val="28"/>
        <w:jc w:val="both"/>
      </w:pPr>
      <w:r>
        <w:rPr>
          <w:rFonts w:hint="eastAsia"/>
          <w:lang w:val="en-US" w:eastAsia="zh-CN"/>
        </w:rPr>
        <w:t>3</w:t>
      </w:r>
      <w:r>
        <w:tab/>
      </w:r>
      <w:r>
        <w:t>Conclusion</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Observation 1:</w:t>
      </w:r>
      <w:r>
        <w:rPr>
          <w:rFonts w:hint="eastAsia" w:eastAsia="宋体" w:cs="Times New Roman"/>
          <w:sz w:val="22"/>
          <w:szCs w:val="22"/>
          <w:lang w:val="en-US" w:eastAsia="zh-CN" w:bidi="ar-SA"/>
        </w:rPr>
        <w:t xml:space="preserve"> Once a RS is not transmitted due to DL LBT failure, the UE and the network all know that even without signalling.</w:t>
      </w:r>
    </w:p>
    <w:p>
      <w:pPr>
        <w:pStyle w:val="36"/>
        <w:numPr>
          <w:ilvl w:val="0"/>
          <w:numId w:val="0"/>
        </w:numPr>
        <w:rPr>
          <w:rFonts w:hint="eastAsia"/>
          <w:sz w:val="22"/>
          <w:szCs w:val="22"/>
          <w:lang w:eastAsia="zh-CN"/>
        </w:rPr>
      </w:pPr>
      <w:r>
        <w:rPr>
          <w:rFonts w:hint="eastAsia" w:eastAsia="宋体" w:cs="Times New Roman"/>
          <w:b/>
          <w:bCs/>
          <w:sz w:val="22"/>
          <w:szCs w:val="22"/>
          <w:lang w:val="en-US" w:eastAsia="zh-CN" w:bidi="ar-SA"/>
        </w:rPr>
        <w:t>Observation 2:</w:t>
      </w:r>
      <w:r>
        <w:rPr>
          <w:rFonts w:hint="eastAsia" w:eastAsia="宋体" w:cs="Times New Roman"/>
          <w:sz w:val="22"/>
          <w:szCs w:val="22"/>
          <w:lang w:val="en-US" w:eastAsia="zh-CN" w:bidi="ar-SA"/>
        </w:rPr>
        <w:t xml:space="preserve"> In R16, the UE only performs omni-directional LBT, which means the LBT result will only depend on the channel occupancy. Changing the Rx or Tx beam of UE won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change LBT result.</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The UE shall not declare beam failure when RRC based TCI state switch fails</w:t>
      </w:r>
      <w:r>
        <w:rPr>
          <w:sz w:val="22"/>
          <w:szCs w:val="22"/>
          <w:lang w:eastAsia="zh-CN"/>
        </w:rPr>
        <w:t>.</w:t>
      </w:r>
    </w:p>
    <w:p>
      <w:pPr>
        <w:rPr>
          <w:rFonts w:hint="eastAsia" w:ascii="Times New Roman" w:hAnsi="Times New Roman" w:eastAsiaTheme="minorHAnsi" w:cstheme="minorBidi"/>
          <w:b/>
          <w:bCs w:val="0"/>
          <w:i w:val="0"/>
          <w:iCs/>
          <w:sz w:val="22"/>
          <w:szCs w:val="22"/>
          <w:lang w:val="en-US" w:eastAsia="zh-CN" w:bidi="ar-SA"/>
        </w:rPr>
      </w:pPr>
      <w:r>
        <w:rPr>
          <w:rFonts w:hint="eastAsia" w:ascii="Times New Roman" w:hAnsi="Times New Roman" w:eastAsiaTheme="minorHAnsi" w:cstheme="minorBidi"/>
          <w:b/>
          <w:bCs w:val="0"/>
          <w:i w:val="0"/>
          <w:iCs/>
          <w:sz w:val="22"/>
          <w:szCs w:val="22"/>
          <w:lang w:val="en-US" w:eastAsia="zh-CN" w:bidi="ar-SA"/>
        </w:rPr>
        <w:t xml:space="preserve">Proposal </w:t>
      </w:r>
      <w:r>
        <w:rPr>
          <w:rFonts w:hint="eastAsia" w:ascii="Times New Roman" w:hAnsi="Times New Roman" w:cstheme="minorBidi"/>
          <w:b/>
          <w:bCs w:val="0"/>
          <w:i w:val="0"/>
          <w:iCs/>
          <w:sz w:val="22"/>
          <w:szCs w:val="22"/>
          <w:lang w:val="en-US" w:eastAsia="zh-CN" w:bidi="ar-SA"/>
        </w:rPr>
        <w:t>2</w:t>
      </w:r>
      <w:r>
        <w:rPr>
          <w:rFonts w:hint="eastAsia" w:ascii="Times New Roman" w:hAnsi="Times New Roman" w:eastAsiaTheme="minorHAnsi" w:cstheme="minorBidi"/>
          <w:b/>
          <w:bCs w:val="0"/>
          <w:i w:val="0"/>
          <w:iCs/>
          <w:sz w:val="22"/>
          <w:szCs w:val="22"/>
          <w:lang w:val="en-US" w:eastAsia="zh-CN" w:bidi="ar-SA"/>
        </w:rPr>
        <w:t xml:space="preserve">: </w:t>
      </w:r>
      <w:r>
        <w:rPr>
          <w:rFonts w:hint="eastAsia"/>
          <w:b/>
          <w:bCs w:val="0"/>
          <w:sz w:val="22"/>
          <w:szCs w:val="22"/>
          <w:lang w:val="en-US" w:eastAsia="zh-CN"/>
        </w:rPr>
        <w:t>When RRC based TCI state switch fails due to LBT failures, the UE shall switch its active BWP after the counter reaches the maximum allowed value</w:t>
      </w:r>
      <w:r>
        <w:rPr>
          <w:b/>
          <w:bCs w:val="0"/>
          <w:sz w:val="22"/>
          <w:szCs w:val="22"/>
          <w:lang w:eastAsia="zh-CN"/>
        </w:rPr>
        <w: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R4-200536</w:t>
      </w:r>
      <w:r>
        <w:rPr>
          <w:rFonts w:hint="eastAsia" w:eastAsia="宋体"/>
          <w:lang w:val="en-US" w:eastAsia="zh-CN"/>
        </w:rPr>
        <w:t>6</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R4-2005365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FE15FBC"/>
    <w:multiLevelType w:val="multilevel"/>
    <w:tmpl w:val="0FE15FBC"/>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7F66AC2"/>
    <w:multiLevelType w:val="multilevel"/>
    <w:tmpl w:val="17F66AC2"/>
    <w:lvl w:ilvl="0" w:tentative="0">
      <w:start w:val="1"/>
      <w:numFmt w:val="bullet"/>
      <w:lvlText w:val="•"/>
      <w:lvlJc w:val="left"/>
      <w:pPr>
        <w:tabs>
          <w:tab w:val="left" w:pos="720"/>
        </w:tabs>
        <w:ind w:left="720" w:hanging="360"/>
      </w:pPr>
      <w:rPr>
        <w:rFonts w:hint="default" w:ascii="Arial" w:hAnsi="Arial"/>
      </w:rPr>
    </w:lvl>
    <w:lvl w:ilvl="1" w:tentative="0">
      <w:start w:val="213"/>
      <w:numFmt w:val="bullet"/>
      <w:lvlText w:val="•"/>
      <w:lvlJc w:val="left"/>
      <w:pPr>
        <w:tabs>
          <w:tab w:val="left" w:pos="1440"/>
        </w:tabs>
        <w:ind w:left="1440" w:hanging="360"/>
      </w:pPr>
      <w:rPr>
        <w:rFonts w:hint="default" w:ascii="Arial" w:hAnsi="Arial"/>
      </w:rPr>
    </w:lvl>
    <w:lvl w:ilvl="2" w:tentative="0">
      <w:start w:val="213"/>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4069F4D"/>
    <w:multiLevelType w:val="singleLevel"/>
    <w:tmpl w:val="74069F4D"/>
    <w:lvl w:ilvl="0" w:tentative="0">
      <w:start w:val="1"/>
      <w:numFmt w:val="decimal"/>
      <w:suff w:val="space"/>
      <w:lvlText w:val="%1)"/>
      <w:lvlJc w:val="left"/>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816336"/>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110A9C"/>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170E3F"/>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A0B3A21"/>
    <w:rsid w:val="1A9E1F80"/>
    <w:rsid w:val="1B3329B5"/>
    <w:rsid w:val="1B6237C1"/>
    <w:rsid w:val="1B7F155B"/>
    <w:rsid w:val="1BA53662"/>
    <w:rsid w:val="1C9823D7"/>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9B2FCE"/>
    <w:rsid w:val="35D850E1"/>
    <w:rsid w:val="3625727C"/>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FF55768"/>
    <w:rsid w:val="40566CBF"/>
    <w:rsid w:val="407921CE"/>
    <w:rsid w:val="40C04FE0"/>
    <w:rsid w:val="40CD3DFD"/>
    <w:rsid w:val="41A105B1"/>
    <w:rsid w:val="41AA7137"/>
    <w:rsid w:val="41FC2424"/>
    <w:rsid w:val="42381A71"/>
    <w:rsid w:val="426B0C9E"/>
    <w:rsid w:val="42841694"/>
    <w:rsid w:val="429266C7"/>
    <w:rsid w:val="42AF1322"/>
    <w:rsid w:val="42C84FA7"/>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9C27E73"/>
    <w:rsid w:val="4A017308"/>
    <w:rsid w:val="4AA22C8B"/>
    <w:rsid w:val="4AF26B9D"/>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5362923"/>
    <w:rsid w:val="5553143F"/>
    <w:rsid w:val="55835BB5"/>
    <w:rsid w:val="55B42DC5"/>
    <w:rsid w:val="572C4710"/>
    <w:rsid w:val="586B2608"/>
    <w:rsid w:val="592D7AE2"/>
    <w:rsid w:val="593554F0"/>
    <w:rsid w:val="59840ED4"/>
    <w:rsid w:val="5A3078C5"/>
    <w:rsid w:val="5ADF3A74"/>
    <w:rsid w:val="5AE53367"/>
    <w:rsid w:val="5B0B0083"/>
    <w:rsid w:val="5B7C141A"/>
    <w:rsid w:val="5BC3228B"/>
    <w:rsid w:val="5C0961E3"/>
    <w:rsid w:val="5C3B1FEA"/>
    <w:rsid w:val="5CFD674B"/>
    <w:rsid w:val="5D041ECD"/>
    <w:rsid w:val="5E2D4C21"/>
    <w:rsid w:val="5E70786E"/>
    <w:rsid w:val="5EE41E2E"/>
    <w:rsid w:val="5F0F00DA"/>
    <w:rsid w:val="60017F85"/>
    <w:rsid w:val="6038792D"/>
    <w:rsid w:val="6045086B"/>
    <w:rsid w:val="60745B63"/>
    <w:rsid w:val="60B937A9"/>
    <w:rsid w:val="60FE56E9"/>
    <w:rsid w:val="61051332"/>
    <w:rsid w:val="6155106E"/>
    <w:rsid w:val="618D3C04"/>
    <w:rsid w:val="62762AC5"/>
    <w:rsid w:val="62B7743E"/>
    <w:rsid w:val="63754386"/>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504618"/>
    <w:rsid w:val="6EB20078"/>
    <w:rsid w:val="6F2B4BD4"/>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3496B"/>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8B14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F3159A7-E9D0-414E-8F00-668C05F5E065}">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2020-05-15T12:44:40Z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